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19:42 МСК · База обновлена: 27.08.2026, 19:34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отрицает;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• травм и операций не было;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• аллергических реакций не было;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калия и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 билирубина и трансаминаз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тропонина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холестерин и его фракции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тиреоидных гормонов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уровень калия и креатинина крови</w:t>
      </w:r>
      <w:r>
        <w:br/>
      </w:r>
      <w:r>
        <w:rPr>
          <w:b/>
          <w:i w:val="0"/>
        </w:rPr>
        <w:t>3 - уровень тропонина крови</w:t>
      </w:r>
      <w:r>
        <w:br/>
      </w:r>
      <w:r>
        <w:rPr>
          <w:b/>
          <w:i w:val="0"/>
        </w:rPr>
        <w:t>6 - уровень тиреоидных гормонов</w:t>
      </w:r>
    </w:p>
    <w:p>
      <w:pPr>
        <w:spacing w:after="58"/>
      </w:pPr>
      <w:r>
        <w:rPr>
          <w:b w:val="0"/>
          <w:i w:val="0"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</w:r>
    </w:p>
    <w:p>
      <w:pPr>
        <w:spacing w:after="58"/>
      </w:pPr>
      <w:r>
        <w:rPr>
          <w:b w:val="0"/>
          <w:i w:val="0"/>
        </w:rPr>
        <w:t>Гиперкалиемия на фоне ХБП может быть причиной брадикардии.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исключения активного миокардита показано определение уровня тропонина крови.</w:t>
      </w:r>
    </w:p>
    <w:p>
      <w:pPr>
        <w:spacing w:after="58"/>
      </w:pPr>
      <w:r>
        <w:rPr>
          <w:b w:val="0"/>
          <w:i w:val="0"/>
        </w:rPr>
        <w:t>Всем пациентам с клиническим подозрением на миокардит рекомендуется определение тропонинов T и I.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Миокардиты, 2025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</w:r>
    </w:p>
    <w:p>
      <w:pPr>
        <w:spacing w:after="58"/>
      </w:pPr>
      <w:r>
        <w:rPr>
          <w:b w:val="0"/>
          <w:i w:val="0"/>
        </w:rPr>
        <w:t>Гипотиреоз может быть одной из причин развития синусовой брадикардии.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брахиоцефальных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сцинтиграфия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 на амбулаторном приёме аритмолога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суточное мониторирование ЭКГ</w:t>
      </w:r>
      <w:r>
        <w:br/>
      </w:r>
      <w:r>
        <w:rPr>
          <w:b/>
          <w:i w:val="0"/>
        </w:rPr>
        <w:t>5 - регистрация ЭКГ в 12 отведениях на амбулаторном приёме аритмолога</w:t>
      </w:r>
    </w:p>
    <w:p>
      <w:pPr>
        <w:spacing w:after="58"/>
      </w:pPr>
      <w:r>
        <w:rPr>
          <w:b w:val="0"/>
          <w:i w:val="0"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во всех случаях подозрения на БА регистрировать стандартную ЭКГ в 12 отведениях.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Анализируя полученные данные,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Атриовентрикулярная блокада 3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Атриовентрикулярная блокада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Атриовентрикулярная блокада 2 степени типа 2:1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Синоатриальная блокада 2 степени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Атриовентрикулярная блокада 2 степени типа 2:1</w:t>
      </w:r>
    </w:p>
    <w:p>
      <w:pPr>
        <w:spacing w:after="58"/>
      </w:pPr>
      <w:r>
        <w:rPr>
          <w:b w:val="0"/>
          <w:i w:val="0"/>
        </w:rPr>
        <w:t>По степени выраженности нарушений различают:</w:t>
      </w:r>
    </w:p>
    <w:p>
      <w:pPr>
        <w:spacing w:after="58"/>
      </w:pPr>
      <w:r>
        <w:rPr>
          <w:b w:val="0"/>
          <w:i w:val="0"/>
        </w:rPr>
        <w:t>ПЖБ I степени — замедление проведения импульса от предсердий к желудочкам с проведением каждого импульса;</w:t>
      </w:r>
    </w:p>
    <w:p>
      <w:pPr>
        <w:spacing w:after="58"/>
      </w:pPr>
      <w:r>
        <w:rPr>
          <w:b w:val="0"/>
          <w:i w:val="0"/>
        </w:rPr>
        <w:t>ПЖБ II степени - периодические прерывания проведения предсердных импульсов на желудочки.</w:t>
      </w:r>
    </w:p>
    <w:p>
      <w:pPr>
        <w:spacing w:after="58"/>
      </w:pPr>
      <w:r>
        <w:rPr>
          <w:b w:val="0"/>
          <w:i w:val="0"/>
        </w:rPr>
        <w:t>Она имеет три разновидности:</w:t>
      </w:r>
    </w:p>
    <w:p>
      <w:pPr>
        <w:spacing w:after="58"/>
      </w:pPr>
      <w:r>
        <w:rPr>
          <w:b w:val="0"/>
          <w:i w:val="0"/>
        </w:rPr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</w:r>
    </w:p>
    <w:p>
      <w:pPr>
        <w:spacing w:after="58"/>
      </w:pPr>
      <w:r>
        <w:rPr>
          <w:b w:val="0"/>
          <w:i w:val="0"/>
        </w:rPr>
        <w:t>Мобитц тип II — блокирование импульса без предшествующего удлинения времени предсердно-желудочкового проведения;</w:t>
      </w:r>
    </w:p>
    <w:p>
      <w:pPr>
        <w:spacing w:after="58"/>
      </w:pPr>
      <w:r>
        <w:rPr>
          <w:b w:val="0"/>
          <w:i w:val="0"/>
        </w:rPr>
        <w:t>Далекозашедшая ПЖБ II степени — блокирование каждого второго или нескольких подряд предсердных импульсов.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Разновидности АВ-блокады 2 степени включают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мобитц-I, мобитц-II и далекозашедшую АВ-блокаду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мобитц-I, мобитц-II и далекозашедшую АВ-блокаду 2 степени</w:t>
      </w:r>
    </w:p>
    <w:p>
      <w:pPr>
        <w:spacing w:after="58"/>
      </w:pPr>
      <w:r>
        <w:rPr>
          <w:b w:val="0"/>
          <w:i w:val="0"/>
        </w:rPr>
        <w:t>АВ-блокада 2 степени имеет 3 разновидности:</w:t>
      </w:r>
    </w:p>
    <w:p>
      <w:pPr>
        <w:spacing w:after="58"/>
      </w:pPr>
      <w:r>
        <w:rPr>
          <w:b w:val="0"/>
          <w:i w:val="0"/>
        </w:rPr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</w:r>
    </w:p>
    <w:p>
      <w:pPr>
        <w:spacing w:after="58"/>
      </w:pPr>
      <w:r>
        <w:rPr>
          <w:b w:val="0"/>
          <w:i w:val="0"/>
        </w:rPr>
        <w:t>Мобитц тип II — блокирование импульса без предшествующего удлинения времени предсердно-желудочкового проведения;</w:t>
      </w:r>
    </w:p>
    <w:p>
      <w:pPr>
        <w:spacing w:after="58"/>
      </w:pPr>
      <w:r>
        <w:rPr>
          <w:b w:val="0"/>
          <w:i w:val="0"/>
        </w:rPr>
        <w:t>Далекозашедшая ПЖБ II степени — блокирование каждого второго или нескольких подряд предсердных импульсов.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госпитализация в дневной стационар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spacing w:after="58"/>
      </w:pPr>
      <w:r>
        <w:rPr>
          <w:b w:val="0"/>
          <w:i w:val="0"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имплантация постоянного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петлевого регистратора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имплантация постоянного ЭКС</w:t>
      </w:r>
    </w:p>
    <w:p>
      <w:pPr>
        <w:spacing w:after="58"/>
      </w:pPr>
      <w:r>
        <w:rPr>
          <w:b w:val="0"/>
          <w:i w:val="0"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однокамерная желудочковая стимуляция (VVI)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двухкамерная последовательная стимуляция предсердий и желудочков стимуляция (DDD)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однокамерная предсердная стимуляция (AAI)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двухкамерная последовательная стимуляция предсердий и желудочков стимуляция (DDD)</w:t>
      </w:r>
    </w:p>
    <w:p>
      <w:pPr>
        <w:spacing w:after="58"/>
      </w:pPr>
      <w:r>
        <w:rPr>
          <w:b w:val="0"/>
          <w:i w:val="0"/>
        </w:rPr>
        <w:t>Пациентам с приобретенными ПЖБ и синусовым ритмом рекомендуется двухкамерная стимуляция (DDD).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Функция частотной адаптации для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будет показана при наличии сопутствующей хронотропной некомпетентности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абсолютна 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будет показана при наличии сопутствующей хронотропной некомпетентности</w:t>
      </w:r>
    </w:p>
    <w:p>
      <w:pPr>
        <w:spacing w:after="58"/>
      </w:pPr>
      <w:r>
        <w:rPr>
          <w:b w:val="0"/>
          <w:i w:val="0"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дислокация эндокардиального электрода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интраоперационный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гемоперикард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дислокация эндокардиального электрода</w:t>
      </w:r>
    </w:p>
    <w:p>
      <w:pPr>
        <w:spacing w:after="58"/>
      </w:pPr>
      <w:r>
        <w:rPr>
          <w:b w:val="0"/>
          <w:i w:val="0"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Всероссийского научного общества специалистов по клинической электрофизиологии, аритмологии и кардиостимуляции (ВНОА). 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устройств. 2017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Хронотропным индексом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spacing w:after="58"/>
      </w:pPr>
      <w:r>
        <w:rPr>
          <w:b w:val="0"/>
          <w:i w:val="0"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дважды в первые 6 месяцев, затем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дважды в первые 6 месяцев, затем каждые 6 месяцев</w:t>
      </w:r>
    </w:p>
    <w:p>
      <w:pPr>
        <w:spacing w:after="58"/>
      </w:pPr>
      <w:r>
        <w:rPr>
          <w:b w:val="0"/>
          <w:i w:val="0"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в санаториях федерального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в местных санаториях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показана</w:t>
      </w:r>
    </w:p>
    <w:p>
      <w:pPr>
        <w:spacing w:after="58"/>
      </w:pPr>
      <w:r>
        <w:rPr>
          <w:b w:val="0"/>
          <w:i w:val="0"/>
        </w:rPr>
        <w:t>Пациенты с имплантированными ЭКС в реабилитации не нуждаются.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60_2/" TargetMode="External"/><Relationship Id="rId23" Type="http://schemas.openxmlformats.org/officeDocument/2006/relationships/hyperlink" Target="https://library.mededtech.ru/rest/documents/KP160_2/#list_item_jg080i" TargetMode="External"/><Relationship Id="rId24" Type="http://schemas.openxmlformats.org/officeDocument/2006/relationships/hyperlink" Target="https://library.mededtech.ru/rest/documents/KP153_2/" TargetMode="External"/><Relationship Id="rId25" Type="http://schemas.openxmlformats.org/officeDocument/2006/relationships/hyperlink" Target="https://library.mededtech.ru/rest/documents/KP153_2/#list_item_3tpgin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60_2/#list_item_fu9i27" TargetMode="External"/><Relationship Id="rId28" Type="http://schemas.openxmlformats.org/officeDocument/2006/relationships/hyperlink" Target="https://library.mededtech.ru/rest/documents/KP160_2/#list_item_ebs383" TargetMode="External"/><Relationship Id="rId29" Type="http://schemas.openxmlformats.org/officeDocument/2006/relationships/hyperlink" Target="https://library.mededtech.ru/rest/documents/KP160_2/#list_item_fcdce1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160_2/#paragraph_loaei5" TargetMode="External"/><Relationship Id="rId32" Type="http://schemas.openxmlformats.org/officeDocument/2006/relationships/hyperlink" Target="https://library.mededtech.ru/rest/documents/KP160_2/#list_item_olue6c" TargetMode="External"/><Relationship Id="rId33" Type="http://schemas.openxmlformats.org/officeDocument/2006/relationships/hyperlink" Target="https://library.mededtech.ru/rest/documents/KP160_2/#list_item_5jt2sp" TargetMode="External"/><Relationship Id="rId34" Type="http://schemas.openxmlformats.org/officeDocument/2006/relationships/hyperlink" Target="https://library.mededtech.ru/rest/documents/KP160_2/#list_item_q5g252" TargetMode="External"/><Relationship Id="rId35" Type="http://schemas.openxmlformats.org/officeDocument/2006/relationships/hyperlink" Target="https://library.mededtech.ru/rest/documents/KP160_2/#list_item_q817pc" TargetMode="External"/><Relationship Id="rId36" Type="http://schemas.openxmlformats.org/officeDocument/2006/relationships/hyperlink" Target="https://library.mededtech.ru/rest/documents/KP160_2/#paragraph_8qa5b1" TargetMode="External"/><Relationship Id="rId37" Type="http://schemas.openxmlformats.org/officeDocument/2006/relationships/hyperlink" Target="https://library.mededtech.ru/rest/documents/cd57f453/" TargetMode="External"/><Relationship Id="rId38" Type="http://schemas.openxmlformats.org/officeDocument/2006/relationships/hyperlink" Target="https://library.mededtech.ru/rest/documents/cd57f453/?anchor=paragraph_5drt0n#paragraph_5drt0n" TargetMode="External"/><Relationship Id="rId39" Type="http://schemas.openxmlformats.org/officeDocument/2006/relationships/hyperlink" Target="https://library.mededtech.ru/rest/documents/KP160_2/index.html#paragraph_fu83i9" TargetMode="External"/><Relationship Id="rId40" Type="http://schemas.openxmlformats.org/officeDocument/2006/relationships/hyperlink" Target="https://library.mededtech.ru/rest/documents/KP160_2/index.html#list_item_skcg1m" TargetMode="External"/><Relationship Id="rId41" Type="http://schemas.openxmlformats.org/officeDocument/2006/relationships/hyperlink" Target="https://library.mededtech.ru/rest/documents/KP160_2/index.html#paragraph_p25k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